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90 vom 20. Dezember 2024</w:t>
      </w:r>
    </w:p>
    <w:p>
      <w:r>
        <w:t>VS Kantonsgericht, 2024-12-20, FR</w:t>
      </w:r>
    </w:p>
    <w:p>
      <w:r>
        <w:rPr>
          <w:b/>
        </w:rPr>
        <w:t xml:space="preserve">Quelle: </w:t>
      </w:r>
      <w:r>
        <w:t>https://mcp.opencaselaw.ch/entscheid/vs_gerichte_S2 22 90</w:t>
      </w:r>
    </w:p>
    <w:p>
      <w:r>
        <w:t>FR: VS_GERICHTE S2 22 90 du 20 décembre 2024</w:t>
      </w:r>
    </w:p>
    <w:p>
      <w:r>
        <w:t>IT: VS_GERICHTE S2 22 90 del 20 dicembre 2024</w:t>
      </w:r>
    </w:p>
    <w:p>
      <w:pPr>
        <w:pStyle w:val="Heading2"/>
      </w:pPr>
      <w:r>
        <w:t>Regeste</w:t>
      </w:r>
    </w:p>
    <w:p>
      <w:r>
        <w:t>S2 22 90 ARRÊT DU 20 DÉCEMBRE 2024 Tribunal cantonal du Valais Cour des assurances sociales Composition : Candido Prada, président ; Frédéric Fellay et Christophe Joris, juges ; Pierre-André Moix, greffier en la cause X _________, recourante contre VAUDOISE GÉNÉRALE COMPAGNIE D'ASSURANCES SA, intimée (art. 18 al. 1 et 19 LAA ; stabilisation de l’état de santé, rente d’invalidité de l’assurance-accidents)</w:t>
      </w:r>
    </w:p>
    <w:p>
      <w:pPr>
        <w:pStyle w:val="Heading2"/>
      </w:pPr>
      <w:r>
        <w:t>Erwägungen</w:t>
      </w:r>
    </w:p>
    <w:p>
      <w:r>
        <w:rPr>
          <w:b/>
        </w:rPr>
        <w:t>E. 1.1</w:t>
      </w:r>
    </w:p>
    <w:p>
      <w:r>
        <w:t>Selon l'article 1 alinéa 1 LAA, les dispositions de la LPGA s'appliquent à l'assurance- accidents, à moins que la LAA n'y déroge expressément.</w:t>
      </w:r>
    </w:p>
    <w:p>
      <w:r>
        <w:rPr>
          <w:b/>
        </w:rPr>
        <w:t>E. 1.2</w:t>
      </w:r>
    </w:p>
    <w:p>
      <w:r>
        <w:t>Le recours déposé le 6 décembre 2022, à l'encontre de la décision sur opposition du 8 novembre précédent, a été interjeté dans le délai légal (art. 60 LPGA)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la question de savoir si l’intimée a retenu à juste titre que la recourante n’avait pas droit à une rente d’invalidité de l’assurance-accidents.</w:t>
      </w:r>
    </w:p>
    <w:p>
      <w:r>
        <w:rPr>
          <w:b/>
        </w:rPr>
        <w:t>E. 2.2</w:t>
      </w:r>
    </w:p>
    <w:p>
      <w:r>
        <w:t>Les modifications introduites par la novelle du 25 septembre 2015, entrée en vigueur le 1er janvier 2017 et modifiant diverses dispositions de la LAA, ne sont pas applicables au cas d'espèce, puisque l’accident assuré s’est produit en 2013 (cf. ch. 1 des dispositions transitoires relatives à cette modification a contrario [RO 2016 4388]). Ci- après, il sera fait mention de l’ancienne version de la LAA (aLAA) pour les dispositions qui ont été modifiées par la novelle de 2015 inapplicable au cas d’espèce.</w:t>
      </w:r>
    </w:p>
    <w:p>
      <w:r>
        <w:rPr>
          <w:b/>
        </w:rPr>
        <w:t>E. 3.1</w:t>
      </w:r>
    </w:p>
    <w:p>
      <w:r>
        <w:t>Selon l'article 6 alinéa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122 V 230 consid. 1 ainsi que les références).</w:t>
      </w:r>
    </w:p>
    <w:p>
      <w:r>
        <w:rPr>
          <w:b/>
        </w:rPr>
        <w:t>E. 3.2</w:t>
      </w:r>
    </w:p>
    <w:p>
      <w:r>
        <w:t>L'assuré a droit à une rente d'invalidité s'il est invalide à 10 % au moins par suite d'un accident (art. 18 al. 1 aLAA). Est réputée invalidité l'incapacité de gain totale ou partielle qui est présumée permanente ou de longue durée (art. 8 al. 1 LPGA). L’article 7 LPGA dispose qu’est réputée incapacité de gain toute diminution de l’ensemble ou d’une partie des possibilités de gain de l’assuré sur un marché du travail équilibré dans son domaine d’activité, si cette</w:t>
      </w:r>
    </w:p>
    <w:p>
      <w:r>
        <w:t>- 10 -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L’article 19 alinéa 1 LAA prévoit que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Cette norme règle tout d'abord le moment où un cas d'assurance doit être clôturé (ATF 134 V 109 consid. 3.2). Les prestations temporaires, telles que les indemnités journalières et le traitement médical, ne doivent être accordées par l'assureur-accidents – pour autant que les éventuelles mesures de réadaptation de l'assurance-invalidité soient terminées – qu'aussi longtemps que l'on peut attendre de la poursuite du traitement médical une amélioration notable de l'état de santé. Si ce n'est plus le cas, le cas doit être clos en suspendant les prestations temporaires et en examinant simultanément le droit à une rente d'invalidité et/ou à une indemnité pour atteinte à l'intégrité (ATF 144 V 354 consid. 4.1, 143 V 148 consid. 3.1.1 et 134 V 109 consid. 4.1 p. 113 s., cités p. ex. in arrêt du Tribunal fédéral 8C_176/2023 du 6 décembre 2023 consid. 3).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(arrêt 8C_176/2023 précité consid. 3 et les réf. cit. ; GEERTSEN, in Hürzeler/Kieser [éd.],</w:t>
      </w:r>
    </w:p>
    <w:p>
      <w:r>
        <w:t>- 11 - Kommentar zum schweizerischen Sozialversicherungsrecht – UVG, 2018, no 9 ad art. 19 et les réf. cit.). L'invalidité est une notion économique et non médicale. Les critères médico-théoriques ne sont pas déterminants, mais les répercussions de l'atteinte à la santé sur la capacité de gain le sont (cf. par analogie, RAMA 1991 n° U130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3.4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Pour procéder à cette comparaison, il convient de se placer au moment de la naissance du droit à une éventuelle rente d’invalidité (ATF 143 V 295 consid. 4.1.3 et les réf. cit.). Dans le cas où l’assuré n’exerce plus d’activité professionnelle ou ne met pas pleinement en valeur sa capacité résiduelle de gain, une stricte comparaison des revenus au sens de l’article 16 LPGA est impossible. Dans ce cas, le degré d’invalidité doit être déterminé à partir de données médicales et selon la méthode générale de la comparaison des revenus.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114 V 310). L’appréciation de la question de l’exigibilité donnée par le médecin permet de déterminer les activités qui entrent encore en considération pour l’assuré malgré les limitations dues à l’accident. Ensuite, il y a lieu d’évaluer le gain que l’intéressé pourrait encore réaliser en exerçant une telle activité (revenu d’invalide) et de le comparer avec celui qu’il aurait pu réaliser sans handicap (revenu sans invalidité) sur un marché équilibré du travail. Le degré d’invalidité résulte de cette comparaison (méthode générale de comparaison des revenus ; ATF 130 V 343 consid. 3.4, 128 V 29 consid. 1 et 104 V 135 consid. 2a et 2b).</w:t>
      </w:r>
    </w:p>
    <w:p>
      <w:r>
        <w:t>- 12 -</w:t>
      </w:r>
    </w:p>
    <w:p>
      <w:r>
        <w:rPr>
          <w:b/>
        </w:rPr>
        <w:t>E. 3.5</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 consid. 3a, cités p. ex. in arrêt du Tribunal fédéral 8C_696/2022 du 2 juin 2023 consid. 4.3.1).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cité p. ex. in arrêt du Tribunal fédéral 8C_691/2022 du 23 juin 2023 consid. 3.3).</w:t>
      </w:r>
    </w:p>
    <w:p>
      <w:r>
        <w:rPr>
          <w:b/>
        </w:rPr>
        <w:t>E. 4.1</w:t>
      </w:r>
    </w:p>
    <w:p>
      <w:r>
        <w:t>En l’occurrence, l’intimée a retenu que l’état du poignet gauche de l’assurée s’est stabilisé au plus tard, le 31 décembre 2017, dès lors que le Dr I _________ décrivait en 2022 un état stationnaire depuis son examen précédent de 2017. S’agissant de la capacité de travail de l’intéressée, elle a soutenu qu’elle était légèrement entravée dans l’activité habituelle, mais qu’elle était pleine et entière dans une activité adaptée aux limitations fonctionnelles. En effet, à la suite de son examen du 16 août 2016, le</w:t>
      </w:r>
    </w:p>
    <w:p>
      <w:r>
        <w:t>- 13 - Dr G _________ avait conclu à une exigibilité complète dans une activité adaptée, point de vue que partageait le Dr I _________ dans ses rapports de 2017 et de 2022.</w:t>
      </w:r>
    </w:p>
    <w:p>
      <w:r>
        <w:rPr>
          <w:b/>
        </w:rPr>
        <w:t>E. 4.2</w:t>
      </w:r>
    </w:p>
    <w:p>
      <w:r>
        <w:t>Dans son mémoire, la recourante rappelle que, depuis le 8 mars 2016, la Dresse E _________ a attesté une incapacité de travail permanente de 25 %. Elle se réfère aussi à une échographie de son poignet réalisée le 23 février 2016, sur la base de laquelle ont été mises en évidence une tendinopathie et une synovite. Ces arguments ne sont pas pertinents. En effet, la Dresse E _________ ne se prononce pas sur la question de savoir s’il peut être exigé de sa patiente qu’elle exerce un autre travail n’impliquant pas (ou peu) l’usage d’un clavier d’ordinateur et/ou ne sollicitant pas son poignet gauche. L’incapacité de travail de 25 % qu’elle atteste concerne l’activité habituelle de la recourante et non une activité adaptée à ses limitations fonctionnelles ; elle ne permet dès lors nullement de remettre en cause les conclusions des Drs G _________ et I _________ quant à l’exigibilité d’une pleine capacité de travail dans une activité adaptée. Il en va de même des inflammations identifiées sur les imageries de février 2016 (tendinopathie et synovite), examen antérieur aux rapports établis par ces deux spécialistes et connu de ceux-ci. Pour les mêmes motifs, la recourante relève en vain que le Dr G _________ a conclu à une perte de rendement de 20 à 25 % ; en effet, celle-ci ne concernait que l’activité habituelle de l’assurée, qui nécessitait l’utilisation d’un clavier d’ordinateur 80 % du temps, et non d’autres activités adaptées aux limitations fonctionnelles causées par son poignet gauche (cf. rapport du Dr G _________ p. 9, sous pièce n. 120).</w:t>
      </w:r>
    </w:p>
    <w:p>
      <w:r>
        <w:rPr>
          <w:b/>
        </w:rPr>
        <w:t>E. 4.3</w:t>
      </w:r>
    </w:p>
    <w:p>
      <w:r>
        <w:t>L’intéressée affirme que l’état de son poignet gauche est stabilisé depuis 2016, l’intervention réalisée en 2017 n’ayant pas conduit à une amélioration. Elle reproche à l’intimée de ne pas avoir statué sur son cas à cette époque, alors qu’elle le lui avait demandé à plusieurs reprises, la contraignant à poursuivre ses démarches afin d’obtenir une décision. L’intimée a considéré à bon droit que l’état de santé de l’assurée a été stabilisé au plus tard à la fin de l’année 2017. En effet, au cours de cette année-là, les spécialistes consultés discutaient de la question de savoir si une ablation du matériel d’ostéosynthèse (arthrodèse) était ou non indiquée (cf. rapport de la Dresse E _________ du 7 février 2017, sous pièce n. 137 ; rapport d’expertise du Dr I _________ du 23 mai 2017, sous pièce n. 147), intervention qui a finalement été réalisée, le 21 juillet 2017 (cf. protocole opératoire, sous pièce n. 169), et qui a entraîné une convalescence d’au moins trois mois. La Vaudoise a d’ailleurs maintenu l’allocation</w:t>
      </w:r>
    </w:p>
    <w:p>
      <w:r>
        <w:t>- 14 - de ses prestations durant cette année 2017. Même en admettant que ce cas n’a, par la suite, pas été traité avec toute la diligence et la célérité qui pouvaient être attendues de l’intimée, la recourante ne peut rien en tirer dans le cadre de son recours céans puisque, comme cela ressort du présent arrêt, la décision sur opposition est conforme au droit. Il s’ensuit que ce grief est rejeté.</w:t>
      </w:r>
    </w:p>
    <w:p>
      <w:r>
        <w:rPr>
          <w:b/>
        </w:rPr>
        <w:t>E. 5.1</w:t>
      </w:r>
    </w:p>
    <w:p>
      <w:r>
        <w:t>L’intimée a considéré que la recourante n’avait pas droit à une rente d’invalidité de l’assurance-accidents, car la comparaison au 1er janvier 2018 du revenu sans invalidité avec le revenu d’invalide faisait ressortir une perte de gain (5.4 %) inférieure au minimum de 10 % fixé par l’article 18 alinéa 1 aLAA.</w:t>
      </w:r>
    </w:p>
    <w:p>
      <w:r>
        <w:rPr>
          <w:b/>
        </w:rPr>
        <w:t>E. 5.2</w:t>
      </w:r>
    </w:p>
    <w:p>
      <w:r>
        <w:t>Le revenu sans invalidité a été évalué à 57'814 fr. 40 au 1er janvier 2018 (pour une activité à temps plein). Il tient compte du salaire perçu par l’assurée en 2013, au moment de son accident, du renchérissement sur les salaires nominaux de 2014 à 2018 (cf. décision attaquée ch. 2.7). Cette évaluation, que la recourante ne conteste pas, doit être confirmée.</w:t>
      </w:r>
    </w:p>
    <w:p>
      <w:r>
        <w:rPr>
          <w:b/>
        </w:rPr>
        <w:t>E. 5.3</w:t>
      </w:r>
    </w:p>
    <w:p>
      <w:r>
        <w:t>Quant au revenu d’invalide, il a été fixé à 54'681 fr. 20, sur la base des données statistiques tirées de l’ESS pour l’année 2018.</w:t>
      </w:r>
    </w:p>
    <w:p>
      <w:r>
        <w:rPr>
          <w:b/>
        </w:rPr>
        <w:t>E. 5.3.1</w:t>
      </w:r>
    </w:p>
    <w:p>
      <w:r>
        <w:t>Selon la jurisprudence,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419 consid. 5.2 et 148 V 174 consid. 6.2). Une telle évaluation se fonde en principe sur la valeur centrale, respectivement médiane de l'ESS (ATF 148 V 174 consid. 9.2.3 et 9.2.4). Par ailleurs, lorsque le revenu d'invalide est déterminé sur la base des salaires statistiques, le salaire peut à certaines conditions faire l'objet d'un abattement de 25 % au plus, afin de tenir compte du fait qu’une personne lésée ne peut pas forcément mettre pleinement à profit sa capacité de travail résiduelle sur un marché de travail réputé équilibré (ATF 148 V 419 consid. 5.2 et 148 V 174 consid. 6.3).</w:t>
      </w:r>
    </w:p>
    <w:p>
      <w:r>
        <w:rPr>
          <w:b/>
        </w:rPr>
        <w:t>E. 5.3.2</w:t>
      </w:r>
    </w:p>
    <w:p>
      <w:r>
        <w:t>In casu, l’intimée a utilisé le tableau « TA1_tirage_skill_level » qui répertorie, pour le secteur privé, le salaire mensuel brut selon les branches économiques, le niveau de compétence et le sexe. Elle a tenu compte du salaire médian global (valeur centrale) pour les femmes, toute activités confondues, au niveau de compétence 1 (tâches</w:t>
      </w:r>
    </w:p>
    <w:p>
      <w:r>
        <w:t>- 15 - physiques ou manuelles simples), et l’a adapté à la durée normale hebdomadaire de travail en 2018 en Suisse, à savoir 41,7 heures. La Vaudoise a considéré que, sur un marché du travail équilibré, nombre de ces activités étaient en effet adaptées aux limitations fonctionnelles et aux aptitudes de l’assurée (cf. décision attaquée ch. 2.8). La recourante n’émet aucune critique ciblée contre ce raisonnement. Les limitations fonctionnelles avec lesquelles elle doit compter sont les suivantes : pas d’activité nécessitant une supination du poignet gauche, pas d’activité nécessitant (avec le bras gauche) le port de charges de plus d’un kilo coude fléchi ou cinq kilos bras au corps, pas d’activité nécessitant des mouvements de rotation ou de flexion-extension répétitifs du poignet gauche (cf. rapport du Dr G _________ p. 9, sous pièce n. 120). Comme l’a retenu l’intimée, il existe sur un marché du travail équilibré un nombre significatif d’activités qui demeurent adaptées à de telles limitations fonctionnelles. En effet, la jurisprudence considère que les possibilités d'emploi dans un marché équilibré du travail sont suffisantes même pour des personnes considérées comme monomanuelles et limitées à des activités légères (cf. arrêt du Tribunal fédéral 8C_722/2020 du 9 juillet 2021 consid. 5.6 et les arrêts cités), degré de limitation que la recourante n’atteint au demeurant pas puisqu’elle reste en mesure d'utiliser son poignet et sa main gauches dans une activité légère sans sollicitations excessives en terme de force et de mouvements. Quant à la question de savoir si la situation personnelle de l’assurée justifie un éventuel abattement sur le salaire d’invalide statistique, l’intimée ne l’aborde pas explicitement dans sa décision. La recourante ne formule céans aucun grief à cet égard, mais elle demande que sa « perte de rendement de 20 % - 25 % » soit prise en compte. A ce sujet, on rappellera que cette perte de rendement que mentionne le Dr G _________ concerne l’activité habituelle de l’intéressée et, plus particulièrement, l’utilisation d’un clavier d’ordinateur (fatigabilité accrue nécessitant des pauses supplémentaires d’environ 5 min. toutes les 10 à 15 min. ; cf. rapport précité p. 9, sous pièce n. 120). Or, les activités que regroupe le niveau de compétence 1 du tableau « TA1_tirage_skill_level » de l’ESS – qui sont variées, n'impliquent pas de formation particulière et sont compatibles avec des limitations fonctionnelles peu contraignantes – ne nécessitent pas l’utilisation d’un ordinateur. Comme déjà dit, nombre d’entre elles demeurent adaptées aux limitations que la recourante présente au niveau de son poignet gauche. Partant, on ne saurait retenir que le handicap de l’intéressée impliquerait des possibilités de gain inférieures à la moyenne dans une activité adaptée de niveau de compétence 1. Un abattement sur le salaire statistique d’invalide ne se justifie donc pas</w:t>
      </w:r>
    </w:p>
    <w:p>
      <w:r>
        <w:t>- 16 - pour ce motif, ni d’ailleurs en raison d’autres circonstances personnelles telles que l’âge de l’assurée, ses années de service, sa nationalité et son taux d’occupation. C’est donc à bon droit que l’intimée a arrêté le revenu d’invalide à 54'681 fr. 20 pour une activité à temps plein.</w:t>
      </w:r>
    </w:p>
    <w:p>
      <w:r>
        <w:rPr>
          <w:b/>
        </w:rPr>
        <w:t>E. 5.4</w:t>
      </w:r>
    </w:p>
    <w:p>
      <w:r>
        <w:t>La comparaison du revenu sans invalidité de l’assurée au 1er janvier 2018, à 57'814 fr. 40, avec le revenu d’invalide fixé à 54'681 fr. 20, fait ainsi ressortir une perte de gain de 5.4 %, ce qui n’ouvre pas le droit au versement d’une rente d’invalidité de l’assurance-accidents. Il s’ensuit que, sur ce point également, la décision de l’intimée échappe à la critique.</w:t>
      </w:r>
    </w:p>
    <w:p>
      <w:r>
        <w:rPr>
          <w:b/>
        </w:rPr>
        <w:t>E. 6.1</w:t>
      </w:r>
    </w:p>
    <w:p>
      <w:r>
        <w:t>Aucun des motifs invoqués par la recourante n’étant fondé, le recours est rejeté.</w:t>
      </w:r>
    </w:p>
    <w:p>
      <w:r>
        <w:rPr>
          <w:b/>
        </w:rPr>
        <w:t>E. 6.2</w:t>
      </w:r>
    </w:p>
    <w:p>
      <w:r>
        <w:t>Il n’est pas perçu de frais (art. 61 let. fbis LPGA), la loi spéciale, en l’occurrence la LAA, ne prévoyant pas le prélèvement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